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2A39C" w14:textId="0A6D60FB" w:rsidR="002319F8" w:rsidRPr="004044A2" w:rsidRDefault="00B91E46" w:rsidP="006B2A4C">
      <w:pPr>
        <w:spacing w:line="240" w:lineRule="auto"/>
        <w:ind w:right="-142"/>
        <w:rPr>
          <w:rFonts w:ascii="Arial" w:hAnsi="Arial" w:cs="Arial"/>
          <w:b/>
          <w:bCs/>
          <w:sz w:val="28"/>
          <w:szCs w:val="28"/>
          <w:lang w:val="en-US"/>
        </w:rPr>
      </w:pPr>
      <w:r w:rsidRPr="004044A2">
        <w:rPr>
          <w:rFonts w:ascii="Arial" w:hAnsi="Arial" w:cs="Arial"/>
          <w:b/>
          <w:bCs/>
          <w:sz w:val="28"/>
          <w:szCs w:val="28"/>
          <w:lang w:val="en-US"/>
        </w:rPr>
        <w:t xml:space="preserve">Press Release </w:t>
      </w:r>
    </w:p>
    <w:p w14:paraId="08C35CB4" w14:textId="77777777" w:rsidR="002B0E2E" w:rsidRDefault="002B0E2E" w:rsidP="002B0E2E">
      <w:pPr>
        <w:spacing w:line="240" w:lineRule="auto"/>
        <w:ind w:right="-142"/>
        <w:rPr>
          <w:rFonts w:ascii="Arial" w:hAnsi="Arial" w:cs="Arial"/>
          <w:b/>
          <w:bCs/>
          <w:szCs w:val="22"/>
          <w:lang w:val="en-US"/>
        </w:rPr>
      </w:pPr>
    </w:p>
    <w:p w14:paraId="05B0422F" w14:textId="77777777" w:rsidR="00B934AC" w:rsidRPr="00DD47FD" w:rsidRDefault="00B934AC" w:rsidP="00B934AC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422A1378" w14:textId="67B839F7" w:rsidR="00A04C88" w:rsidRPr="00DD47FD" w:rsidRDefault="00A04C88" w:rsidP="00A04C88">
      <w:pPr>
        <w:pStyle w:val="Default"/>
        <w:jc w:val="both"/>
        <w:rPr>
          <w:rFonts w:ascii="Arial" w:hAnsi="Arial" w:cs="Arial"/>
          <w:lang w:val="en-US"/>
        </w:rPr>
      </w:pPr>
      <w:r w:rsidRPr="00DD47FD">
        <w:rPr>
          <w:rFonts w:ascii="Arial" w:hAnsi="Arial" w:cs="Arial"/>
          <w:b/>
          <w:bCs/>
          <w:lang w:val="en-US"/>
        </w:rPr>
        <w:t>Kind &amp; Co</w:t>
      </w:r>
      <w:r w:rsidR="006D5CFB" w:rsidRPr="00DD47FD">
        <w:rPr>
          <w:rFonts w:ascii="Arial" w:hAnsi="Arial" w:cs="Arial"/>
          <w:b/>
          <w:bCs/>
          <w:lang w:val="en-US"/>
        </w:rPr>
        <w:t>.</w:t>
      </w:r>
      <w:r w:rsidRPr="00DD47FD">
        <w:rPr>
          <w:rFonts w:ascii="Arial" w:hAnsi="Arial" w:cs="Arial"/>
          <w:b/>
          <w:bCs/>
          <w:lang w:val="en-US"/>
        </w:rPr>
        <w:t xml:space="preserve"> </w:t>
      </w:r>
      <w:r w:rsidR="00DD47FD">
        <w:rPr>
          <w:rFonts w:ascii="Arial" w:hAnsi="Arial" w:cs="Arial"/>
          <w:b/>
          <w:bCs/>
          <w:lang w:val="en-US"/>
        </w:rPr>
        <w:t>L</w:t>
      </w:r>
      <w:r w:rsidRPr="00DD47FD">
        <w:rPr>
          <w:rFonts w:ascii="Arial" w:hAnsi="Arial" w:cs="Arial"/>
          <w:b/>
          <w:bCs/>
          <w:lang w:val="en-US"/>
        </w:rPr>
        <w:t xml:space="preserve">aunches MT1: </w:t>
      </w:r>
      <w:r w:rsidR="00A84329" w:rsidRPr="00DD47FD">
        <w:rPr>
          <w:rFonts w:ascii="Arial" w:hAnsi="Arial" w:cs="Arial"/>
          <w:b/>
          <w:bCs/>
          <w:lang w:val="en-US"/>
        </w:rPr>
        <w:t>H</w:t>
      </w:r>
      <w:r w:rsidRPr="00DD47FD">
        <w:rPr>
          <w:rFonts w:ascii="Arial" w:hAnsi="Arial" w:cs="Arial"/>
          <w:b/>
          <w:bCs/>
          <w:lang w:val="en-US"/>
        </w:rPr>
        <w:t xml:space="preserve">igh-performance tool steel engineered for </w:t>
      </w:r>
      <w:r w:rsidR="00A84329" w:rsidRPr="00DD47FD">
        <w:rPr>
          <w:rFonts w:ascii="Arial" w:hAnsi="Arial" w:cs="Arial"/>
          <w:b/>
          <w:bCs/>
          <w:lang w:val="en-US"/>
        </w:rPr>
        <w:t>next-generation</w:t>
      </w:r>
      <w:r w:rsidRPr="00DD47FD">
        <w:rPr>
          <w:rFonts w:ascii="Arial" w:hAnsi="Arial" w:cs="Arial"/>
          <w:b/>
          <w:bCs/>
          <w:lang w:val="en-US"/>
        </w:rPr>
        <w:t xml:space="preserve"> die casting</w:t>
      </w:r>
    </w:p>
    <w:p w14:paraId="4377DAA6" w14:textId="77777777" w:rsidR="00A04C88" w:rsidRPr="00DD47FD" w:rsidRDefault="00A04C88" w:rsidP="00A04C88">
      <w:pPr>
        <w:pStyle w:val="Default"/>
        <w:jc w:val="both"/>
        <w:rPr>
          <w:rFonts w:ascii="Arial" w:hAnsi="Arial" w:cs="Arial"/>
          <w:i/>
          <w:iCs/>
          <w:lang w:val="en-US"/>
        </w:rPr>
      </w:pPr>
    </w:p>
    <w:p w14:paraId="1C4D2902" w14:textId="1D5DDDEB" w:rsidR="002B79E7" w:rsidRPr="00E500E0" w:rsidRDefault="00A04C88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E500E0">
        <w:rPr>
          <w:rFonts w:ascii="Arial" w:hAnsi="Arial" w:cs="Arial"/>
          <w:b/>
          <w:bCs/>
          <w:sz w:val="22"/>
          <w:szCs w:val="22"/>
          <w:lang w:val="en-US"/>
        </w:rPr>
        <w:t xml:space="preserve">Wiehl – </w:t>
      </w:r>
      <w:r w:rsidRPr="00181C6E">
        <w:rPr>
          <w:rFonts w:ascii="Arial" w:hAnsi="Arial" w:cs="Arial"/>
          <w:b/>
          <w:bCs/>
          <w:sz w:val="22"/>
          <w:szCs w:val="22"/>
          <w:lang w:val="en-US"/>
        </w:rPr>
        <w:t>1</w:t>
      </w:r>
      <w:r w:rsidR="00181C6E" w:rsidRPr="00181C6E">
        <w:rPr>
          <w:rFonts w:ascii="Arial" w:hAnsi="Arial" w:cs="Arial"/>
          <w:b/>
          <w:bCs/>
          <w:sz w:val="22"/>
          <w:szCs w:val="22"/>
          <w:lang w:val="en-US"/>
        </w:rPr>
        <w:t>3</w:t>
      </w:r>
      <w:r w:rsidRPr="00181C6E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181C6E" w:rsidRPr="00181C6E">
        <w:rPr>
          <w:rFonts w:ascii="Arial" w:hAnsi="Arial" w:cs="Arial"/>
          <w:b/>
          <w:bCs/>
          <w:sz w:val="22"/>
          <w:szCs w:val="22"/>
          <w:lang w:val="en-US"/>
        </w:rPr>
        <w:t>January</w:t>
      </w:r>
      <w:r w:rsidRPr="00181C6E">
        <w:rPr>
          <w:rFonts w:ascii="Arial" w:hAnsi="Arial" w:cs="Arial"/>
          <w:b/>
          <w:bCs/>
          <w:sz w:val="22"/>
          <w:szCs w:val="22"/>
          <w:lang w:val="en-US"/>
        </w:rPr>
        <w:t xml:space="preserve"> 202</w:t>
      </w:r>
      <w:r w:rsidR="00181C6E" w:rsidRPr="00181C6E">
        <w:rPr>
          <w:rFonts w:ascii="Arial" w:hAnsi="Arial" w:cs="Arial"/>
          <w:b/>
          <w:bCs/>
          <w:sz w:val="22"/>
          <w:szCs w:val="22"/>
          <w:lang w:val="en-US"/>
        </w:rPr>
        <w:t>6</w:t>
      </w:r>
      <w:r w:rsidRPr="00E500E0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— </w:t>
      </w:r>
      <w:r w:rsidR="001E6FA0" w:rsidRPr="00E500E0">
        <w:rPr>
          <w:rFonts w:ascii="Arial" w:hAnsi="Arial" w:cs="Arial"/>
          <w:sz w:val="22"/>
          <w:szCs w:val="22"/>
          <w:lang w:val="en-US"/>
        </w:rPr>
        <w:t>Kind &amp; Co</w:t>
      </w:r>
      <w:r w:rsidR="006D5CFB">
        <w:rPr>
          <w:rFonts w:ascii="Arial" w:hAnsi="Arial" w:cs="Arial"/>
          <w:sz w:val="22"/>
          <w:szCs w:val="22"/>
          <w:lang w:val="en-US"/>
        </w:rPr>
        <w:t>.</w:t>
      </w:r>
      <w:r w:rsidR="002025AF">
        <w:rPr>
          <w:rFonts w:ascii="Arial" w:hAnsi="Arial" w:cs="Arial"/>
          <w:sz w:val="22"/>
          <w:szCs w:val="22"/>
          <w:lang w:val="en-US"/>
        </w:rPr>
        <w:t>,</w:t>
      </w:r>
      <w:r w:rsidR="001E6FA0" w:rsidRPr="00E500E0">
        <w:rPr>
          <w:rFonts w:ascii="Arial" w:hAnsi="Arial" w:cs="Arial"/>
          <w:sz w:val="22"/>
          <w:szCs w:val="22"/>
          <w:lang w:val="en-US"/>
        </w:rPr>
        <w:t xml:space="preserve"> part of GMH Gruppe, announces the launch of MT1, a newly developed tool steel engineered to meet the extreme demands of modern high-pressure die casting — from large structural components to giga-castings and advanced e-drive applications.</w:t>
      </w:r>
    </w:p>
    <w:p w14:paraId="70C18CB4" w14:textId="77777777" w:rsidR="001E6FA0" w:rsidRPr="00E500E0" w:rsidRDefault="001E6FA0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005E24E4" w14:textId="44B37A87" w:rsidR="001E6FA0" w:rsidRPr="00E500E0" w:rsidRDefault="00E42EB1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E500E0">
        <w:rPr>
          <w:rFonts w:ascii="Arial" w:hAnsi="Arial" w:cs="Arial"/>
          <w:sz w:val="22"/>
          <w:szCs w:val="22"/>
          <w:lang w:val="en-US"/>
        </w:rPr>
        <w:t>As the industry moves toward</w:t>
      </w:r>
      <w:r w:rsidR="00A40D0B">
        <w:rPr>
          <w:rFonts w:ascii="Arial" w:hAnsi="Arial" w:cs="Arial"/>
          <w:sz w:val="22"/>
          <w:szCs w:val="22"/>
          <w:lang w:val="en-US"/>
        </w:rPr>
        <w:t>s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larger shot weights, more complex geometries</w:t>
      </w:r>
      <w:r w:rsidR="006D5CFB">
        <w:rPr>
          <w:rFonts w:ascii="Arial" w:hAnsi="Arial" w:cs="Arial"/>
          <w:sz w:val="22"/>
          <w:szCs w:val="22"/>
          <w:lang w:val="en-US"/>
        </w:rPr>
        <w:t>,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and greater functional integration within single castings, tool materials are exposed to significantly higher mechanical and thermal loads. MT1 was engineered specifically for these conditions and combines a set of material properties that directly support stability, tool life</w:t>
      </w:r>
      <w:r w:rsidR="006D5CFB">
        <w:rPr>
          <w:rFonts w:ascii="Arial" w:hAnsi="Arial" w:cs="Arial"/>
          <w:sz w:val="22"/>
          <w:szCs w:val="22"/>
          <w:lang w:val="en-US"/>
        </w:rPr>
        <w:t>,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and casting quality.</w:t>
      </w:r>
    </w:p>
    <w:p w14:paraId="3C42E7B5" w14:textId="77777777" w:rsidR="00E42EB1" w:rsidRPr="00E500E0" w:rsidRDefault="00E42EB1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734A4890" w14:textId="2DDDD409" w:rsidR="00E42EB1" w:rsidRPr="00E500E0" w:rsidRDefault="00551F07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E500E0">
        <w:rPr>
          <w:rFonts w:ascii="Arial" w:hAnsi="Arial" w:cs="Arial"/>
          <w:sz w:val="22"/>
          <w:szCs w:val="22"/>
          <w:lang w:val="en-US"/>
        </w:rPr>
        <w:t xml:space="preserve">MT1 offers exceptional toughness and homogeneity, providing reliable performance even in large dies or in components with significant cross-section variations. The steel also exhibits excellent hardenability, enabling </w:t>
      </w:r>
      <w:r w:rsidR="00F945B7" w:rsidRPr="00E500E0">
        <w:rPr>
          <w:rFonts w:ascii="Arial" w:hAnsi="Arial" w:cs="Arial"/>
          <w:sz w:val="22"/>
          <w:szCs w:val="22"/>
          <w:lang w:val="en-US"/>
        </w:rPr>
        <w:t>consistent distribution of hardness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throughout large mould dimensions typical of structural and giga-cast applications. This uniformity contributes to improved tool performance and predictable </w:t>
      </w:r>
      <w:r w:rsidR="000D4091" w:rsidRPr="00E500E0">
        <w:rPr>
          <w:rFonts w:ascii="Arial" w:hAnsi="Arial" w:cs="Arial"/>
          <w:sz w:val="22"/>
          <w:szCs w:val="22"/>
          <w:lang w:val="en-US"/>
        </w:rPr>
        <w:t>behavio</w:t>
      </w:r>
      <w:r w:rsidR="00A40D0B">
        <w:rPr>
          <w:rFonts w:ascii="Arial" w:hAnsi="Arial" w:cs="Arial"/>
          <w:sz w:val="22"/>
          <w:szCs w:val="22"/>
          <w:lang w:val="en-US"/>
        </w:rPr>
        <w:t>u</w:t>
      </w:r>
      <w:r w:rsidR="000D4091" w:rsidRPr="00E500E0">
        <w:rPr>
          <w:rFonts w:ascii="Arial" w:hAnsi="Arial" w:cs="Arial"/>
          <w:sz w:val="22"/>
          <w:szCs w:val="22"/>
          <w:lang w:val="en-US"/>
        </w:rPr>
        <w:t>r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throughout the die’s service life.</w:t>
      </w:r>
    </w:p>
    <w:p w14:paraId="24894EE9" w14:textId="77777777" w:rsidR="00551F07" w:rsidRPr="00E500E0" w:rsidRDefault="00551F07" w:rsidP="003F1C46">
      <w:pPr>
        <w:pStyle w:val="Default"/>
        <w:jc w:val="both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517B3A9" w14:textId="6160D89E" w:rsidR="000D4091" w:rsidRPr="00E500E0" w:rsidRDefault="000D4091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E500E0">
        <w:rPr>
          <w:rFonts w:ascii="Arial" w:hAnsi="Arial" w:cs="Arial"/>
          <w:sz w:val="22"/>
          <w:szCs w:val="22"/>
          <w:lang w:val="en-US"/>
        </w:rPr>
        <w:t xml:space="preserve">A key advantage of MT1 is the significantly reduced risk of bainite formation during heat treatment. This is particularly important for dies with complex geometries, where thick and thin sections </w:t>
      </w:r>
      <w:r w:rsidR="0007728A">
        <w:rPr>
          <w:rFonts w:ascii="Arial" w:hAnsi="Arial" w:cs="Arial"/>
          <w:sz w:val="22"/>
          <w:szCs w:val="22"/>
          <w:lang w:val="en-US"/>
        </w:rPr>
        <w:t>often pose challenges for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achieving a stable microstructure. MT1’s alloy design supports better dimensional stability, lower scrap rates</w:t>
      </w:r>
      <w:r w:rsidR="0007728A">
        <w:rPr>
          <w:rFonts w:ascii="Arial" w:hAnsi="Arial" w:cs="Arial"/>
          <w:sz w:val="22"/>
          <w:szCs w:val="22"/>
          <w:lang w:val="en-US"/>
        </w:rPr>
        <w:t>,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and reduced reworking effort during die manufacturing.</w:t>
      </w:r>
    </w:p>
    <w:p w14:paraId="3A8319BD" w14:textId="77777777" w:rsidR="00FB5930" w:rsidRPr="00E500E0" w:rsidRDefault="00FB5930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78B58983" w14:textId="738EB911" w:rsidR="00FB5930" w:rsidRPr="00E500E0" w:rsidRDefault="00FB5930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E500E0">
        <w:rPr>
          <w:rFonts w:ascii="Arial" w:hAnsi="Arial" w:cs="Arial"/>
          <w:sz w:val="22"/>
          <w:szCs w:val="22"/>
          <w:lang w:val="en-US"/>
        </w:rPr>
        <w:t>The material also demonstrates high resistance to tempering, allowing the tool to maintain its mechanical properties even under demanding thermal cycling. This ensures stable process conditions, longer service intervals</w:t>
      </w:r>
      <w:r w:rsidR="0007728A">
        <w:rPr>
          <w:rFonts w:ascii="Arial" w:hAnsi="Arial" w:cs="Arial"/>
          <w:sz w:val="22"/>
          <w:szCs w:val="22"/>
          <w:lang w:val="en-US"/>
        </w:rPr>
        <w:t>,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and improved operational efficiency for foundries.</w:t>
      </w:r>
    </w:p>
    <w:p w14:paraId="30FF6052" w14:textId="77777777" w:rsidR="00FC5872" w:rsidRPr="00E500E0" w:rsidRDefault="00FC5872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4D18147C" w14:textId="66C6F5DE" w:rsidR="00FC5872" w:rsidRPr="00E500E0" w:rsidRDefault="00FC5872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E500E0">
        <w:rPr>
          <w:rFonts w:ascii="Arial" w:hAnsi="Arial" w:cs="Arial"/>
          <w:sz w:val="22"/>
          <w:szCs w:val="22"/>
          <w:lang w:val="en-US"/>
        </w:rPr>
        <w:t>MT1 has been developed with the needs of fast-growing die-casting applications in mind, especially structural castings, giga-cast elements</w:t>
      </w:r>
      <w:r w:rsidR="0007728A">
        <w:rPr>
          <w:rFonts w:ascii="Arial" w:hAnsi="Arial" w:cs="Arial"/>
          <w:sz w:val="22"/>
          <w:szCs w:val="22"/>
          <w:lang w:val="en-US"/>
        </w:rPr>
        <w:t>,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and high-performance components for electric drive systems. These segments require tool steels that combine robustness with consistent metallurgical</w:t>
      </w:r>
      <w:r w:rsidR="00A40D0B">
        <w:rPr>
          <w:rFonts w:ascii="Arial" w:hAnsi="Arial" w:cs="Arial"/>
          <w:sz w:val="22"/>
          <w:szCs w:val="22"/>
          <w:lang w:val="en-US"/>
        </w:rPr>
        <w:t xml:space="preserve"> </w:t>
      </w:r>
      <w:r w:rsidR="009E361A">
        <w:rPr>
          <w:rFonts w:ascii="Arial" w:hAnsi="Arial" w:cs="Arial"/>
          <w:sz w:val="22"/>
          <w:szCs w:val="22"/>
          <w:lang w:val="en-US"/>
        </w:rPr>
        <w:t>behaviour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across large and complex geometries</w:t>
      </w:r>
      <w:r w:rsidR="00DD47FD">
        <w:rPr>
          <w:rFonts w:ascii="Arial" w:hAnsi="Arial" w:cs="Arial"/>
          <w:sz w:val="22"/>
          <w:szCs w:val="22"/>
          <w:lang w:val="en-US"/>
        </w:rPr>
        <w:t xml:space="preserve"> </w:t>
      </w:r>
      <w:r w:rsidRPr="00E500E0">
        <w:rPr>
          <w:rFonts w:ascii="Arial" w:hAnsi="Arial" w:cs="Arial"/>
          <w:sz w:val="22"/>
          <w:szCs w:val="22"/>
          <w:lang w:val="en-US"/>
        </w:rPr>
        <w:t>—</w:t>
      </w:r>
      <w:r w:rsidR="00DD47FD">
        <w:rPr>
          <w:rFonts w:ascii="Arial" w:hAnsi="Arial" w:cs="Arial"/>
          <w:sz w:val="22"/>
          <w:szCs w:val="22"/>
          <w:lang w:val="en-US"/>
        </w:rPr>
        <w:t xml:space="preserve"> </w:t>
      </w:r>
      <w:r w:rsidRPr="00E500E0">
        <w:rPr>
          <w:rFonts w:ascii="Arial" w:hAnsi="Arial" w:cs="Arial"/>
          <w:sz w:val="22"/>
          <w:szCs w:val="22"/>
          <w:lang w:val="en-US"/>
        </w:rPr>
        <w:t>requirements directly addressed by MT1.</w:t>
      </w:r>
    </w:p>
    <w:p w14:paraId="4E4DA094" w14:textId="77777777" w:rsidR="008363EA" w:rsidRPr="00E500E0" w:rsidRDefault="008363EA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559B043A" w14:textId="741AF93A" w:rsidR="008363EA" w:rsidRPr="00E500E0" w:rsidRDefault="008363EA" w:rsidP="003F1C4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E500E0">
        <w:rPr>
          <w:rFonts w:ascii="Arial" w:hAnsi="Arial" w:cs="Arial"/>
          <w:i/>
          <w:iCs/>
          <w:sz w:val="22"/>
          <w:szCs w:val="22"/>
          <w:lang w:val="en-US"/>
        </w:rPr>
        <w:t xml:space="preserve">“With MT1, we are offering a tool steel that meets the real requirements of today’s die-casting industry — high </w:t>
      </w:r>
      <w:r w:rsidR="009E361A">
        <w:rPr>
          <w:rFonts w:ascii="Arial" w:hAnsi="Arial" w:cs="Arial"/>
          <w:i/>
          <w:iCs/>
          <w:sz w:val="22"/>
          <w:szCs w:val="22"/>
          <w:lang w:val="en-US"/>
        </w:rPr>
        <w:t>durability</w:t>
      </w:r>
      <w:r w:rsidRPr="00E500E0">
        <w:rPr>
          <w:rFonts w:ascii="Arial" w:hAnsi="Arial" w:cs="Arial"/>
          <w:i/>
          <w:iCs/>
          <w:sz w:val="22"/>
          <w:szCs w:val="22"/>
          <w:lang w:val="en-US"/>
        </w:rPr>
        <w:t>, reliable hardenability</w:t>
      </w:r>
      <w:r w:rsidR="00A40D0B">
        <w:rPr>
          <w:rFonts w:ascii="Arial" w:hAnsi="Arial" w:cs="Arial"/>
          <w:i/>
          <w:iCs/>
          <w:sz w:val="22"/>
          <w:szCs w:val="22"/>
          <w:lang w:val="en-US"/>
        </w:rPr>
        <w:t>,</w:t>
      </w:r>
      <w:r w:rsidRPr="00E500E0">
        <w:rPr>
          <w:rFonts w:ascii="Arial" w:hAnsi="Arial" w:cs="Arial"/>
          <w:i/>
          <w:iCs/>
          <w:sz w:val="22"/>
          <w:szCs w:val="22"/>
          <w:lang w:val="en-US"/>
        </w:rPr>
        <w:t xml:space="preserve"> and stability even in the largest dies,”</w:t>
      </w:r>
      <w:r w:rsidRPr="00E500E0">
        <w:rPr>
          <w:rFonts w:ascii="Arial" w:hAnsi="Arial" w:cs="Arial"/>
          <w:sz w:val="22"/>
          <w:szCs w:val="22"/>
          <w:lang w:val="en-US"/>
        </w:rPr>
        <w:t xml:space="preserve"> says </w:t>
      </w:r>
      <w:r w:rsidRPr="00181C6E">
        <w:rPr>
          <w:rFonts w:ascii="Arial" w:hAnsi="Arial" w:cs="Arial"/>
          <w:sz w:val="22"/>
          <w:szCs w:val="22"/>
          <w:lang w:val="en-US"/>
        </w:rPr>
        <w:t>Marc Schmitz</w:t>
      </w:r>
      <w:r w:rsidR="0083064E" w:rsidRPr="00181C6E">
        <w:rPr>
          <w:rFonts w:ascii="Arial" w:hAnsi="Arial" w:cs="Arial"/>
          <w:sz w:val="22"/>
          <w:szCs w:val="22"/>
          <w:lang w:val="en-US"/>
        </w:rPr>
        <w:t>, Sales Director</w:t>
      </w:r>
      <w:r w:rsidR="0083064E" w:rsidRPr="00E500E0">
        <w:rPr>
          <w:rFonts w:ascii="Arial" w:hAnsi="Arial" w:cs="Arial"/>
          <w:sz w:val="22"/>
          <w:szCs w:val="22"/>
          <w:lang w:val="en-US"/>
        </w:rPr>
        <w:t xml:space="preserve"> of </w:t>
      </w:r>
      <w:r w:rsidRPr="00E500E0">
        <w:rPr>
          <w:rFonts w:ascii="Arial" w:hAnsi="Arial" w:cs="Arial"/>
          <w:sz w:val="22"/>
          <w:szCs w:val="22"/>
          <w:lang w:val="en-US"/>
        </w:rPr>
        <w:t>Kind &amp; Co</w:t>
      </w:r>
      <w:r w:rsidR="00A40D0B">
        <w:rPr>
          <w:rFonts w:ascii="Arial" w:hAnsi="Arial" w:cs="Arial"/>
          <w:sz w:val="22"/>
          <w:szCs w:val="22"/>
          <w:lang w:val="en-US"/>
        </w:rPr>
        <w:t>.</w:t>
      </w:r>
    </w:p>
    <w:p w14:paraId="77E3E9AD" w14:textId="77777777" w:rsidR="00907358" w:rsidRDefault="00907358" w:rsidP="003F1C46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14:paraId="6819F161" w14:textId="77777777" w:rsidR="00847BB7" w:rsidRDefault="00847BB7" w:rsidP="003F1C46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</w:p>
    <w:p w14:paraId="090C0248" w14:textId="7045BC6C" w:rsidR="00847BB7" w:rsidRDefault="00907358" w:rsidP="00847BB7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907358">
        <w:rPr>
          <w:rFonts w:ascii="Arial" w:hAnsi="Arial" w:cs="Arial"/>
          <w:b/>
          <w:bCs/>
          <w:sz w:val="20"/>
          <w:szCs w:val="20"/>
          <w:lang w:val="en-US"/>
        </w:rPr>
        <w:t>About Kind &amp; Co</w:t>
      </w:r>
      <w:r w:rsidR="00A40D0B">
        <w:rPr>
          <w:rFonts w:ascii="Arial" w:hAnsi="Arial" w:cs="Arial"/>
          <w:b/>
          <w:bCs/>
          <w:sz w:val="20"/>
          <w:szCs w:val="20"/>
          <w:lang w:val="en-US"/>
        </w:rPr>
        <w:t>.</w:t>
      </w:r>
    </w:p>
    <w:p w14:paraId="7C0CE665" w14:textId="3517411C" w:rsidR="00907358" w:rsidRPr="00907358" w:rsidRDefault="00907358" w:rsidP="00847BB7">
      <w:pPr>
        <w:pStyle w:val="Default"/>
        <w:jc w:val="both"/>
        <w:rPr>
          <w:rFonts w:ascii="Arial" w:hAnsi="Arial" w:cs="Arial"/>
          <w:sz w:val="20"/>
          <w:szCs w:val="20"/>
          <w:lang w:val="en-US"/>
        </w:rPr>
      </w:pPr>
      <w:r w:rsidRPr="00907358">
        <w:rPr>
          <w:rFonts w:ascii="Arial" w:hAnsi="Arial" w:cs="Arial"/>
          <w:sz w:val="20"/>
          <w:szCs w:val="20"/>
          <w:lang w:val="en-US"/>
        </w:rPr>
        <w:t>Kind &amp; Co</w:t>
      </w:r>
      <w:r w:rsidR="00A40D0B">
        <w:rPr>
          <w:rFonts w:ascii="Arial" w:hAnsi="Arial" w:cs="Arial"/>
          <w:sz w:val="20"/>
          <w:szCs w:val="20"/>
          <w:lang w:val="en-US"/>
        </w:rPr>
        <w:t>.</w:t>
      </w:r>
      <w:r w:rsidR="002025AF">
        <w:rPr>
          <w:rFonts w:ascii="Arial" w:hAnsi="Arial" w:cs="Arial"/>
          <w:sz w:val="20"/>
          <w:szCs w:val="20"/>
          <w:lang w:val="en-US"/>
        </w:rPr>
        <w:t>,</w:t>
      </w:r>
      <w:r w:rsidRPr="00907358">
        <w:rPr>
          <w:rFonts w:ascii="Arial" w:hAnsi="Arial" w:cs="Arial"/>
          <w:sz w:val="20"/>
          <w:szCs w:val="20"/>
          <w:lang w:val="en-US"/>
        </w:rPr>
        <w:t xml:space="preserve"> part of the GMH Gruppe, is a globally recogni</w:t>
      </w:r>
      <w:r w:rsidR="009E361A">
        <w:rPr>
          <w:rFonts w:ascii="Arial" w:hAnsi="Arial" w:cs="Arial"/>
          <w:sz w:val="20"/>
          <w:szCs w:val="20"/>
          <w:lang w:val="en-US"/>
        </w:rPr>
        <w:t>s</w:t>
      </w:r>
      <w:r w:rsidRPr="00907358">
        <w:rPr>
          <w:rFonts w:ascii="Arial" w:hAnsi="Arial" w:cs="Arial"/>
          <w:sz w:val="20"/>
          <w:szCs w:val="20"/>
          <w:lang w:val="en-US"/>
        </w:rPr>
        <w:t>ed specialist in high-grade tool steels, combining more than 100 years of metallurgical experience with state-of-the-art production technologies.</w:t>
      </w:r>
    </w:p>
    <w:p w14:paraId="4E7AEC52" w14:textId="77777777" w:rsidR="00551F07" w:rsidRDefault="00551F07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8F59795" w14:textId="77777777" w:rsidR="00E500E0" w:rsidRDefault="00E500E0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38571C9" w14:textId="77777777" w:rsidR="00E500E0" w:rsidRDefault="00E500E0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7DFB4A0" w14:textId="77777777" w:rsidR="00E500E0" w:rsidRDefault="00E500E0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671B697" w14:textId="77777777" w:rsidR="00E500E0" w:rsidRDefault="00E500E0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7D61560F" w14:textId="77777777" w:rsidR="00E500E0" w:rsidRDefault="00E500E0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28A6FC01" w14:textId="77777777" w:rsidR="00E500E0" w:rsidRDefault="00E500E0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105AC214" w14:textId="77777777" w:rsidR="00E500E0" w:rsidRDefault="00E500E0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5D7A0787" w14:textId="77777777" w:rsidR="00E500E0" w:rsidRDefault="00E500E0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EC98A46" w14:textId="4E0A91B5" w:rsidR="003F1C46" w:rsidRPr="00992176" w:rsidRDefault="003F1C46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992176">
        <w:rPr>
          <w:rFonts w:ascii="Arial" w:hAnsi="Arial" w:cs="Arial"/>
          <w:b/>
          <w:bCs/>
          <w:sz w:val="20"/>
          <w:szCs w:val="20"/>
          <w:lang w:val="en-US"/>
        </w:rPr>
        <w:lastRenderedPageBreak/>
        <w:t>About GMH Gruppe</w:t>
      </w:r>
    </w:p>
    <w:p w14:paraId="4A41E2F9" w14:textId="1A11BDE2" w:rsidR="001A328A" w:rsidRDefault="001A328A" w:rsidP="001A328A">
      <w:pPr>
        <w:spacing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bookmarkStart w:id="0" w:name="_Hlk206763203"/>
      <w:r w:rsidRPr="005D00E2">
        <w:rPr>
          <w:rFonts w:ascii="Arial" w:hAnsi="Arial" w:cs="Arial"/>
          <w:sz w:val="20"/>
          <w:szCs w:val="20"/>
          <w:lang w:val="en-US"/>
        </w:rPr>
        <w:t>GMH Gruppe is a full-service provider of steel products, ranging from scrap-based steelmaking to ready-to-install components. It is one of Europe’s largest privately owned metal-processing companies. The group comprises more than 20 medium-sized steel, forging and casting industr</w:t>
      </w:r>
      <w:r>
        <w:rPr>
          <w:rFonts w:ascii="Arial" w:hAnsi="Arial" w:cs="Arial"/>
          <w:sz w:val="20"/>
          <w:szCs w:val="20"/>
          <w:lang w:val="en-US"/>
        </w:rPr>
        <w:t>y sites</w:t>
      </w:r>
      <w:r w:rsidRPr="005D00E2">
        <w:rPr>
          <w:rFonts w:ascii="Arial" w:hAnsi="Arial" w:cs="Arial"/>
          <w:sz w:val="20"/>
          <w:szCs w:val="20"/>
          <w:lang w:val="en-US"/>
        </w:rPr>
        <w:t xml:space="preserve">, serving customers in over 50 countries. With around 6,000 employees, GMH Gruppe generates annual revenues of </w:t>
      </w:r>
      <w:r w:rsidRPr="002E7623">
        <w:rPr>
          <w:rFonts w:ascii="Arial" w:hAnsi="Arial" w:cs="Arial"/>
          <w:sz w:val="20"/>
          <w:szCs w:val="20"/>
          <w:lang w:val="en-US"/>
        </w:rPr>
        <w:t xml:space="preserve">over </w:t>
      </w:r>
      <w:r w:rsidR="004C4394">
        <w:rPr>
          <w:rFonts w:ascii="Arial" w:hAnsi="Arial" w:cs="Arial"/>
          <w:sz w:val="20"/>
          <w:szCs w:val="20"/>
          <w:lang w:val="en-US"/>
        </w:rPr>
        <w:t xml:space="preserve"> </w:t>
      </w:r>
      <w:r w:rsidRPr="005D00E2">
        <w:rPr>
          <w:rFonts w:ascii="Arial" w:hAnsi="Arial" w:cs="Arial"/>
          <w:sz w:val="20"/>
          <w:szCs w:val="20"/>
          <w:lang w:val="en-US"/>
        </w:rPr>
        <w:t>2 billion euros.</w:t>
      </w:r>
    </w:p>
    <w:p w14:paraId="5CAD463E" w14:textId="60096CC0" w:rsidR="001A328A" w:rsidRPr="005D00E2" w:rsidRDefault="001A328A" w:rsidP="001A328A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GMH Gruppe is a pioneer in sustainable steel production and a member of the ‘German Association of Climate Protection Companies’. By recycling metal scrap, the company produces green steel and contributes to a circular economy. </w:t>
      </w:r>
      <w:r w:rsidR="00EA292D" w:rsidRPr="002A145E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>The use of electric arc furnaces at four sites reduces CO</w:t>
      </w:r>
      <w:r w:rsidR="00EA292D" w:rsidRPr="002A145E">
        <w:rPr>
          <w:rFonts w:ascii="Arial" w:eastAsia="Times New Roman" w:hAnsi="Arial" w:cs="Arial"/>
          <w:color w:val="auto"/>
          <w:sz w:val="20"/>
          <w:szCs w:val="20"/>
          <w:vertAlign w:val="subscript"/>
          <w:lang w:val="en-US" w:eastAsia="de-DE"/>
        </w:rPr>
        <w:t>2</w:t>
      </w:r>
      <w:r w:rsidR="00EA292D" w:rsidRPr="002A145E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emissions by 80% compared to the conventional blast furnace and converter route. This also reduces the carbon footprint of customers supplied by GMH.</w:t>
      </w:r>
      <w:r w:rsidR="00EA292D">
        <w:rPr>
          <w:rFonts w:ascii="Arial" w:eastAsia="Times New Roman" w:hAnsi="Arial" w:cs="Arial"/>
          <w:color w:val="auto"/>
          <w:sz w:val="20"/>
          <w:szCs w:val="20"/>
          <w:lang w:val="en-US" w:eastAsia="de-DE"/>
        </w:rPr>
        <w:t xml:space="preserve"> 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These include companies from the automotive, mechanical engineering, railway, energy, logistics, aerospace, agriculture</w:t>
      </w:r>
      <w:r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,</w:t>
      </w: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and construction machinery sectors. </w:t>
      </w:r>
    </w:p>
    <w:p w14:paraId="041B54B8" w14:textId="3CD95652" w:rsidR="00AC26BC" w:rsidRPr="00181C6E" w:rsidRDefault="001A328A" w:rsidP="001A328A">
      <w:pPr>
        <w:pStyle w:val="Default"/>
        <w:jc w:val="both"/>
        <w:rPr>
          <w:rStyle w:val="Hyperlink"/>
          <w:rFonts w:ascii="Arial" w:hAnsi="Arial" w:cs="Arial"/>
          <w:b/>
          <w:bCs/>
          <w:sz w:val="20"/>
          <w:szCs w:val="20"/>
        </w:rPr>
      </w:pPr>
      <w:r w:rsidRPr="005D00E2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GMH Gruppe is committed to achieving full climate-neutrality by 2039.</w:t>
      </w:r>
      <w:r w:rsidR="0058048E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</w:t>
      </w:r>
      <w:hyperlink r:id="rId10" w:history="1">
        <w:r w:rsidR="0058048E" w:rsidRPr="00181C6E">
          <w:rPr>
            <w:rStyle w:val="Hyperlink"/>
            <w:rFonts w:ascii="Arial" w:hAnsi="Arial" w:cs="Arial"/>
            <w:sz w:val="20"/>
            <w:szCs w:val="20"/>
          </w:rPr>
          <w:t>www.gmh-gruppe.de/en/</w:t>
        </w:r>
      </w:hyperlink>
      <w:r w:rsidR="0058048E" w:rsidRPr="00181C6E">
        <w:rPr>
          <w:rFonts w:ascii="Arial" w:hAnsi="Arial" w:cs="Arial"/>
          <w:sz w:val="20"/>
          <w:szCs w:val="20"/>
        </w:rPr>
        <w:t>.</w:t>
      </w:r>
    </w:p>
    <w:bookmarkEnd w:id="0"/>
    <w:p w14:paraId="5E01D7DC" w14:textId="77777777" w:rsidR="000D68E0" w:rsidRPr="00181C6E" w:rsidRDefault="000D68E0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p w14:paraId="01398EA5" w14:textId="77777777" w:rsidR="00167EA4" w:rsidRPr="00181C6E" w:rsidRDefault="00167EA4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</w:p>
    <w:p w14:paraId="53106F89" w14:textId="6B6E4AD4" w:rsidR="009D399E" w:rsidRPr="00181C6E" w:rsidRDefault="009D399E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</w:pPr>
      <w:r w:rsidRPr="00181C6E">
        <w:rPr>
          <w:rFonts w:ascii="Arial" w:eastAsiaTheme="minorHAnsi" w:hAnsi="Arial" w:cs="Arial"/>
          <w:b/>
          <w:bCs/>
          <w:color w:val="000000"/>
          <w:sz w:val="20"/>
          <w:szCs w:val="20"/>
          <w:lang w:eastAsia="en-US"/>
        </w:rPr>
        <w:t>For editorial inquiries:</w:t>
      </w:r>
    </w:p>
    <w:p w14:paraId="2612D0CC" w14:textId="77777777" w:rsidR="00AE2630" w:rsidRPr="00181C6E" w:rsidRDefault="00AE2630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11CCEE6" w14:textId="213626B9" w:rsidR="002F0076" w:rsidRPr="00181C6E" w:rsidRDefault="002F0076" w:rsidP="00062B96">
      <w:pPr>
        <w:spacing w:line="240" w:lineRule="auto"/>
        <w:rPr>
          <w:rStyle w:val="Fett"/>
          <w:rFonts w:ascii="Arial" w:hAnsi="Arial" w:cs="Arial"/>
          <w:color w:val="000000"/>
          <w:sz w:val="20"/>
          <w:szCs w:val="20"/>
        </w:rPr>
      </w:pPr>
      <w:r w:rsidRPr="00181C6E">
        <w:rPr>
          <w:rStyle w:val="Fett"/>
          <w:rFonts w:ascii="Arial" w:hAnsi="Arial" w:cs="Arial"/>
          <w:color w:val="000000"/>
          <w:sz w:val="20"/>
          <w:szCs w:val="20"/>
        </w:rPr>
        <w:t>GMH Gruppe</w:t>
      </w:r>
    </w:p>
    <w:p w14:paraId="3ADD1382" w14:textId="6FD95EF5" w:rsidR="00062B96" w:rsidRPr="00181C6E" w:rsidRDefault="00062B96" w:rsidP="00062B96">
      <w:pPr>
        <w:spacing w:line="240" w:lineRule="auto"/>
        <w:rPr>
          <w:rStyle w:val="Hyperlink"/>
          <w:rFonts w:ascii="Arial" w:hAnsi="Arial" w:cs="Arial"/>
          <w:sz w:val="20"/>
          <w:szCs w:val="20"/>
        </w:rPr>
      </w:pPr>
      <w:r w:rsidRPr="00181C6E">
        <w:rPr>
          <w:rStyle w:val="Fett"/>
          <w:rFonts w:ascii="Arial" w:hAnsi="Arial" w:cs="Arial"/>
          <w:color w:val="000000"/>
          <w:sz w:val="20"/>
          <w:szCs w:val="20"/>
        </w:rPr>
        <w:t xml:space="preserve">Luciana </w:t>
      </w:r>
      <w:r w:rsidRPr="00181C6E">
        <w:rPr>
          <w:rFonts w:ascii="Arial" w:hAnsi="Arial" w:cs="Arial"/>
          <w:color w:val="000000"/>
          <w:sz w:val="20"/>
          <w:szCs w:val="20"/>
        </w:rPr>
        <w:t>Filizzola, Director Sustainability and Communications</w:t>
      </w:r>
      <w:r w:rsidRPr="00181C6E">
        <w:rPr>
          <w:rStyle w:val="Fett"/>
          <w:rFonts w:ascii="Arial" w:hAnsi="Arial" w:cs="Arial"/>
          <w:b w:val="0"/>
          <w:color w:val="000000"/>
          <w:sz w:val="20"/>
          <w:szCs w:val="20"/>
        </w:rPr>
        <w:t xml:space="preserve">, </w:t>
      </w:r>
      <w:r w:rsidRPr="00181C6E">
        <w:rPr>
          <w:rFonts w:ascii="Arial" w:hAnsi="Arial" w:cs="Arial"/>
          <w:sz w:val="20"/>
          <w:szCs w:val="20"/>
        </w:rPr>
        <w:t xml:space="preserve">+49 160 95222954, </w:t>
      </w:r>
      <w:hyperlink r:id="rId11" w:history="1">
        <w:r w:rsidRPr="00181C6E">
          <w:rPr>
            <w:rStyle w:val="Hyperlink"/>
            <w:rFonts w:ascii="Arial" w:hAnsi="Arial" w:cs="Arial"/>
            <w:sz w:val="20"/>
            <w:szCs w:val="20"/>
          </w:rPr>
          <w:t>Luciana.Filizzola@gmh-gruppe.de</w:t>
        </w:r>
      </w:hyperlink>
    </w:p>
    <w:p w14:paraId="0A3C4423" w14:textId="77777777" w:rsidR="000D68E0" w:rsidRPr="00181C6E" w:rsidRDefault="000D68E0" w:rsidP="00507B65">
      <w:pPr>
        <w:spacing w:line="240" w:lineRule="auto"/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</w:p>
    <w:p w14:paraId="6807D5E8" w14:textId="029DD24D" w:rsidR="008153FB" w:rsidRPr="008153FB" w:rsidRDefault="008153FB" w:rsidP="008153FB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US"/>
        </w:rPr>
      </w:pPr>
      <w:r w:rsidRPr="008153FB">
        <w:rPr>
          <w:rFonts w:ascii="Arial" w:hAnsi="Arial" w:cs="Arial"/>
          <w:b/>
          <w:color w:val="000000"/>
          <w:sz w:val="20"/>
          <w:szCs w:val="20"/>
          <w:lang w:val="en-US"/>
        </w:rPr>
        <w:t>bmb-consult – PR-Agency for the GMH Gruppe</w:t>
      </w:r>
    </w:p>
    <w:p w14:paraId="0FA62689" w14:textId="77777777" w:rsidR="008153FB" w:rsidRPr="00CE08E7" w:rsidRDefault="008153FB" w:rsidP="008153FB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158113493"/>
      <w:r>
        <w:rPr>
          <w:rFonts w:ascii="Arial" w:hAnsi="Arial" w:cs="Arial"/>
          <w:color w:val="000000"/>
          <w:sz w:val="20"/>
          <w:szCs w:val="20"/>
        </w:rPr>
        <w:t xml:space="preserve">Dagmar Klein, Managing Director, </w:t>
      </w:r>
      <w:r w:rsidRPr="00CE08E7">
        <w:rPr>
          <w:rFonts w:ascii="Arial" w:hAnsi="Arial" w:cs="Arial"/>
          <w:color w:val="000000"/>
          <w:sz w:val="20"/>
          <w:szCs w:val="20"/>
        </w:rPr>
        <w:t>+49 17</w:t>
      </w:r>
      <w:r>
        <w:rPr>
          <w:rFonts w:ascii="Arial" w:hAnsi="Arial" w:cs="Arial"/>
          <w:color w:val="000000"/>
          <w:sz w:val="20"/>
          <w:szCs w:val="20"/>
        </w:rPr>
        <w:t>2 8532208</w:t>
      </w:r>
      <w:r w:rsidRPr="00CE08E7">
        <w:rPr>
          <w:rFonts w:ascii="Arial" w:hAnsi="Arial" w:cs="Arial"/>
          <w:color w:val="000000"/>
          <w:sz w:val="20"/>
          <w:szCs w:val="20"/>
        </w:rPr>
        <w:t>,</w:t>
      </w:r>
    </w:p>
    <w:p w14:paraId="742115E8" w14:textId="77777777" w:rsidR="008153FB" w:rsidRPr="00CE08E7" w:rsidRDefault="008153FB" w:rsidP="008153FB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hyperlink r:id="rId12" w:history="1">
        <w:r w:rsidRPr="008779DE">
          <w:rPr>
            <w:rStyle w:val="Hyperlink"/>
            <w:rFonts w:ascii="Arial" w:hAnsi="Arial" w:cs="Arial"/>
            <w:sz w:val="20"/>
            <w:szCs w:val="20"/>
          </w:rPr>
          <w:t>d.klein@bmb-consult.com</w:t>
        </w:r>
      </w:hyperlink>
    </w:p>
    <w:bookmarkEnd w:id="1"/>
    <w:p w14:paraId="604F3EC2" w14:textId="7B9D991D" w:rsidR="002B15F8" w:rsidRPr="008153FB" w:rsidRDefault="002B15F8" w:rsidP="008153FB">
      <w:pPr>
        <w:spacing w:line="240" w:lineRule="auto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sectPr w:rsidR="002B15F8" w:rsidRPr="008153FB" w:rsidSect="002D6B10">
      <w:headerReference w:type="default" r:id="rId13"/>
      <w:type w:val="continuous"/>
      <w:pgSz w:w="11906" w:h="16838"/>
      <w:pgMar w:top="269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C37C4" w14:textId="77777777" w:rsidR="00973673" w:rsidRDefault="00973673" w:rsidP="001D118D">
      <w:pPr>
        <w:spacing w:line="240" w:lineRule="auto"/>
      </w:pPr>
      <w:r>
        <w:separator/>
      </w:r>
    </w:p>
  </w:endnote>
  <w:endnote w:type="continuationSeparator" w:id="0">
    <w:p w14:paraId="171B6401" w14:textId="77777777" w:rsidR="00973673" w:rsidRDefault="00973673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lanOT-Book">
    <w:altName w:val="Calibri"/>
    <w:panose1 w:val="00000000000000000000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F5F9D" w14:textId="77777777" w:rsidR="00973673" w:rsidRDefault="00973673" w:rsidP="001D118D">
      <w:pPr>
        <w:spacing w:line="240" w:lineRule="auto"/>
      </w:pPr>
      <w:r>
        <w:separator/>
      </w:r>
    </w:p>
  </w:footnote>
  <w:footnote w:type="continuationSeparator" w:id="0">
    <w:p w14:paraId="5072BBDF" w14:textId="77777777" w:rsidR="00973673" w:rsidRDefault="00973673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1867369152" name="Grafik 1867369152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12466304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3267"/>
    <w:multiLevelType w:val="hybridMultilevel"/>
    <w:tmpl w:val="C8448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92902"/>
    <w:multiLevelType w:val="multilevel"/>
    <w:tmpl w:val="B7782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414EDC"/>
    <w:multiLevelType w:val="multilevel"/>
    <w:tmpl w:val="0BC26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EE35CF"/>
    <w:multiLevelType w:val="multilevel"/>
    <w:tmpl w:val="2924B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7B5132"/>
    <w:multiLevelType w:val="multilevel"/>
    <w:tmpl w:val="478AC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8B4015"/>
    <w:multiLevelType w:val="hybridMultilevel"/>
    <w:tmpl w:val="5796791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997769">
    <w:abstractNumId w:val="0"/>
  </w:num>
  <w:num w:numId="2" w16cid:durableId="1625841286">
    <w:abstractNumId w:val="5"/>
  </w:num>
  <w:num w:numId="3" w16cid:durableId="719674615">
    <w:abstractNumId w:val="1"/>
  </w:num>
  <w:num w:numId="4" w16cid:durableId="450174097">
    <w:abstractNumId w:val="3"/>
  </w:num>
  <w:num w:numId="5" w16cid:durableId="1355501609">
    <w:abstractNumId w:val="2"/>
  </w:num>
  <w:num w:numId="6" w16cid:durableId="6045054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00367"/>
    <w:rsid w:val="00004E02"/>
    <w:rsid w:val="00006B5E"/>
    <w:rsid w:val="000112F1"/>
    <w:rsid w:val="000119A0"/>
    <w:rsid w:val="00013C46"/>
    <w:rsid w:val="000205BD"/>
    <w:rsid w:val="00022CE8"/>
    <w:rsid w:val="0003146D"/>
    <w:rsid w:val="00040176"/>
    <w:rsid w:val="00043813"/>
    <w:rsid w:val="00045D6B"/>
    <w:rsid w:val="00045E0B"/>
    <w:rsid w:val="00055296"/>
    <w:rsid w:val="00061F91"/>
    <w:rsid w:val="00062B96"/>
    <w:rsid w:val="0007728A"/>
    <w:rsid w:val="00077D8B"/>
    <w:rsid w:val="00080421"/>
    <w:rsid w:val="00084E82"/>
    <w:rsid w:val="00084E94"/>
    <w:rsid w:val="00085E05"/>
    <w:rsid w:val="00085E79"/>
    <w:rsid w:val="000879CF"/>
    <w:rsid w:val="000966DB"/>
    <w:rsid w:val="000B458F"/>
    <w:rsid w:val="000C0141"/>
    <w:rsid w:val="000C3327"/>
    <w:rsid w:val="000D0535"/>
    <w:rsid w:val="000D1910"/>
    <w:rsid w:val="000D4091"/>
    <w:rsid w:val="000D68E0"/>
    <w:rsid w:val="000D6F5C"/>
    <w:rsid w:val="000D7D74"/>
    <w:rsid w:val="000E0B3E"/>
    <w:rsid w:val="000E25BF"/>
    <w:rsid w:val="000E4E2D"/>
    <w:rsid w:val="000E5E2F"/>
    <w:rsid w:val="000F66A6"/>
    <w:rsid w:val="00105CF0"/>
    <w:rsid w:val="00110EEB"/>
    <w:rsid w:val="00113EF2"/>
    <w:rsid w:val="00115E86"/>
    <w:rsid w:val="00123F82"/>
    <w:rsid w:val="00125197"/>
    <w:rsid w:val="00125DAB"/>
    <w:rsid w:val="00126858"/>
    <w:rsid w:val="001315B6"/>
    <w:rsid w:val="00153EC5"/>
    <w:rsid w:val="00153F79"/>
    <w:rsid w:val="0015515F"/>
    <w:rsid w:val="0015553B"/>
    <w:rsid w:val="0016109F"/>
    <w:rsid w:val="00161A9A"/>
    <w:rsid w:val="00164CD9"/>
    <w:rsid w:val="00167EA4"/>
    <w:rsid w:val="00170FFF"/>
    <w:rsid w:val="00172E88"/>
    <w:rsid w:val="00173A38"/>
    <w:rsid w:val="00180CE1"/>
    <w:rsid w:val="00181C6E"/>
    <w:rsid w:val="0018498A"/>
    <w:rsid w:val="00185111"/>
    <w:rsid w:val="0018659D"/>
    <w:rsid w:val="00192083"/>
    <w:rsid w:val="00192EDA"/>
    <w:rsid w:val="00195960"/>
    <w:rsid w:val="001A06A7"/>
    <w:rsid w:val="001A328A"/>
    <w:rsid w:val="001A3404"/>
    <w:rsid w:val="001B24CF"/>
    <w:rsid w:val="001B2C01"/>
    <w:rsid w:val="001C3027"/>
    <w:rsid w:val="001C3BE0"/>
    <w:rsid w:val="001D118D"/>
    <w:rsid w:val="001D2FF4"/>
    <w:rsid w:val="001E0CFE"/>
    <w:rsid w:val="001E5451"/>
    <w:rsid w:val="001E5946"/>
    <w:rsid w:val="001E6FA0"/>
    <w:rsid w:val="001F2F5F"/>
    <w:rsid w:val="001F7ADB"/>
    <w:rsid w:val="002025AF"/>
    <w:rsid w:val="00204945"/>
    <w:rsid w:val="002049F8"/>
    <w:rsid w:val="00204DBB"/>
    <w:rsid w:val="00206948"/>
    <w:rsid w:val="00207208"/>
    <w:rsid w:val="002106E9"/>
    <w:rsid w:val="0021083C"/>
    <w:rsid w:val="002109D9"/>
    <w:rsid w:val="00211E3A"/>
    <w:rsid w:val="00214B1F"/>
    <w:rsid w:val="00227CDE"/>
    <w:rsid w:val="00230FED"/>
    <w:rsid w:val="002319F8"/>
    <w:rsid w:val="00233ACF"/>
    <w:rsid w:val="00237B80"/>
    <w:rsid w:val="00240C59"/>
    <w:rsid w:val="002426BE"/>
    <w:rsid w:val="00245C8D"/>
    <w:rsid w:val="00250316"/>
    <w:rsid w:val="0025064F"/>
    <w:rsid w:val="002515E5"/>
    <w:rsid w:val="00253DAD"/>
    <w:rsid w:val="00276FE5"/>
    <w:rsid w:val="00280445"/>
    <w:rsid w:val="002810B4"/>
    <w:rsid w:val="00290CD1"/>
    <w:rsid w:val="00292F3C"/>
    <w:rsid w:val="0029366C"/>
    <w:rsid w:val="00294E10"/>
    <w:rsid w:val="00296F0C"/>
    <w:rsid w:val="002A145E"/>
    <w:rsid w:val="002A2193"/>
    <w:rsid w:val="002A26BA"/>
    <w:rsid w:val="002A2B56"/>
    <w:rsid w:val="002A3E7C"/>
    <w:rsid w:val="002A5417"/>
    <w:rsid w:val="002B0E2E"/>
    <w:rsid w:val="002B15F8"/>
    <w:rsid w:val="002B16EF"/>
    <w:rsid w:val="002B79E7"/>
    <w:rsid w:val="002C6043"/>
    <w:rsid w:val="002D2314"/>
    <w:rsid w:val="002D3D9C"/>
    <w:rsid w:val="002D47F9"/>
    <w:rsid w:val="002D6B10"/>
    <w:rsid w:val="002E141F"/>
    <w:rsid w:val="002E1A72"/>
    <w:rsid w:val="002E32C1"/>
    <w:rsid w:val="002E77CB"/>
    <w:rsid w:val="002E7E65"/>
    <w:rsid w:val="002F0076"/>
    <w:rsid w:val="002F00EE"/>
    <w:rsid w:val="002F0899"/>
    <w:rsid w:val="002F1036"/>
    <w:rsid w:val="002F77F0"/>
    <w:rsid w:val="003007D4"/>
    <w:rsid w:val="00313A9E"/>
    <w:rsid w:val="00321343"/>
    <w:rsid w:val="00322610"/>
    <w:rsid w:val="00330DD8"/>
    <w:rsid w:val="0033631B"/>
    <w:rsid w:val="00340A48"/>
    <w:rsid w:val="00341FA4"/>
    <w:rsid w:val="003425C9"/>
    <w:rsid w:val="00351811"/>
    <w:rsid w:val="0035188D"/>
    <w:rsid w:val="00364884"/>
    <w:rsid w:val="00370CCB"/>
    <w:rsid w:val="00375C8B"/>
    <w:rsid w:val="00377BDF"/>
    <w:rsid w:val="00382960"/>
    <w:rsid w:val="00383251"/>
    <w:rsid w:val="00383392"/>
    <w:rsid w:val="003835FF"/>
    <w:rsid w:val="00394B73"/>
    <w:rsid w:val="003A0CA5"/>
    <w:rsid w:val="003A63F6"/>
    <w:rsid w:val="003B1DED"/>
    <w:rsid w:val="003B36BE"/>
    <w:rsid w:val="003D2A57"/>
    <w:rsid w:val="003D2DF2"/>
    <w:rsid w:val="003D3105"/>
    <w:rsid w:val="003D3D23"/>
    <w:rsid w:val="003D41CD"/>
    <w:rsid w:val="003D7F1A"/>
    <w:rsid w:val="003E2D66"/>
    <w:rsid w:val="003E66D8"/>
    <w:rsid w:val="003E6D2F"/>
    <w:rsid w:val="003E7801"/>
    <w:rsid w:val="003F0982"/>
    <w:rsid w:val="003F0A10"/>
    <w:rsid w:val="003F0E1B"/>
    <w:rsid w:val="003F1224"/>
    <w:rsid w:val="003F1C46"/>
    <w:rsid w:val="004044A2"/>
    <w:rsid w:val="00411AD5"/>
    <w:rsid w:val="0042208B"/>
    <w:rsid w:val="0042256A"/>
    <w:rsid w:val="004345CD"/>
    <w:rsid w:val="0043589E"/>
    <w:rsid w:val="00440BCE"/>
    <w:rsid w:val="0044107A"/>
    <w:rsid w:val="00447139"/>
    <w:rsid w:val="00454901"/>
    <w:rsid w:val="00464CF6"/>
    <w:rsid w:val="00473F3F"/>
    <w:rsid w:val="0047783D"/>
    <w:rsid w:val="004969FB"/>
    <w:rsid w:val="004976E4"/>
    <w:rsid w:val="004A2D7F"/>
    <w:rsid w:val="004A5555"/>
    <w:rsid w:val="004A69A7"/>
    <w:rsid w:val="004A7F2F"/>
    <w:rsid w:val="004B2908"/>
    <w:rsid w:val="004C097C"/>
    <w:rsid w:val="004C4394"/>
    <w:rsid w:val="004C7E0B"/>
    <w:rsid w:val="004D1472"/>
    <w:rsid w:val="004D6AF9"/>
    <w:rsid w:val="004E3EF8"/>
    <w:rsid w:val="004E5D81"/>
    <w:rsid w:val="004F1FAB"/>
    <w:rsid w:val="004F4B05"/>
    <w:rsid w:val="00504D7C"/>
    <w:rsid w:val="00507B65"/>
    <w:rsid w:val="005150C5"/>
    <w:rsid w:val="005333C5"/>
    <w:rsid w:val="00534EF2"/>
    <w:rsid w:val="00535D2B"/>
    <w:rsid w:val="005431EA"/>
    <w:rsid w:val="00545A4C"/>
    <w:rsid w:val="00551F07"/>
    <w:rsid w:val="005540B8"/>
    <w:rsid w:val="00554E90"/>
    <w:rsid w:val="005567AB"/>
    <w:rsid w:val="00561DF7"/>
    <w:rsid w:val="0056287B"/>
    <w:rsid w:val="00567C79"/>
    <w:rsid w:val="00573D53"/>
    <w:rsid w:val="0058048E"/>
    <w:rsid w:val="00584BB7"/>
    <w:rsid w:val="00590576"/>
    <w:rsid w:val="005909BA"/>
    <w:rsid w:val="00596486"/>
    <w:rsid w:val="005A0184"/>
    <w:rsid w:val="005A1E1C"/>
    <w:rsid w:val="005A626A"/>
    <w:rsid w:val="005A7CB1"/>
    <w:rsid w:val="005B1C74"/>
    <w:rsid w:val="005B26BB"/>
    <w:rsid w:val="005B7E65"/>
    <w:rsid w:val="005C4E92"/>
    <w:rsid w:val="005C57EF"/>
    <w:rsid w:val="005D053A"/>
    <w:rsid w:val="005E48EF"/>
    <w:rsid w:val="005E6337"/>
    <w:rsid w:val="005E63F8"/>
    <w:rsid w:val="006125FA"/>
    <w:rsid w:val="006141AC"/>
    <w:rsid w:val="006200CC"/>
    <w:rsid w:val="00626640"/>
    <w:rsid w:val="00626890"/>
    <w:rsid w:val="00632315"/>
    <w:rsid w:val="00641503"/>
    <w:rsid w:val="006421BB"/>
    <w:rsid w:val="006525B1"/>
    <w:rsid w:val="00653E9C"/>
    <w:rsid w:val="00653F3C"/>
    <w:rsid w:val="00656DBB"/>
    <w:rsid w:val="00660F8F"/>
    <w:rsid w:val="00667505"/>
    <w:rsid w:val="00667F13"/>
    <w:rsid w:val="00674A08"/>
    <w:rsid w:val="006772D5"/>
    <w:rsid w:val="00680719"/>
    <w:rsid w:val="00682741"/>
    <w:rsid w:val="006934B4"/>
    <w:rsid w:val="006A52F0"/>
    <w:rsid w:val="006A6BDC"/>
    <w:rsid w:val="006B05E5"/>
    <w:rsid w:val="006B2A4C"/>
    <w:rsid w:val="006B3AF9"/>
    <w:rsid w:val="006B4A15"/>
    <w:rsid w:val="006B632F"/>
    <w:rsid w:val="006B68BF"/>
    <w:rsid w:val="006C5485"/>
    <w:rsid w:val="006C5526"/>
    <w:rsid w:val="006D15B3"/>
    <w:rsid w:val="006D5237"/>
    <w:rsid w:val="006D5CFB"/>
    <w:rsid w:val="006D652A"/>
    <w:rsid w:val="006E5B0A"/>
    <w:rsid w:val="006E6EB9"/>
    <w:rsid w:val="006E7D64"/>
    <w:rsid w:val="006F21E8"/>
    <w:rsid w:val="006F3A4E"/>
    <w:rsid w:val="006F5B0C"/>
    <w:rsid w:val="00700A5D"/>
    <w:rsid w:val="00700F2B"/>
    <w:rsid w:val="007015AB"/>
    <w:rsid w:val="00703EA1"/>
    <w:rsid w:val="0070526D"/>
    <w:rsid w:val="00707784"/>
    <w:rsid w:val="007102BC"/>
    <w:rsid w:val="0071627D"/>
    <w:rsid w:val="00720CA8"/>
    <w:rsid w:val="00723A88"/>
    <w:rsid w:val="00726264"/>
    <w:rsid w:val="00726893"/>
    <w:rsid w:val="007342A0"/>
    <w:rsid w:val="00736104"/>
    <w:rsid w:val="0074288B"/>
    <w:rsid w:val="007448EA"/>
    <w:rsid w:val="00747427"/>
    <w:rsid w:val="00751096"/>
    <w:rsid w:val="0075130A"/>
    <w:rsid w:val="0075534E"/>
    <w:rsid w:val="00756D86"/>
    <w:rsid w:val="00761FAF"/>
    <w:rsid w:val="00763D40"/>
    <w:rsid w:val="00764490"/>
    <w:rsid w:val="007647B6"/>
    <w:rsid w:val="00767588"/>
    <w:rsid w:val="0079163C"/>
    <w:rsid w:val="00796417"/>
    <w:rsid w:val="007A16C7"/>
    <w:rsid w:val="007A5A78"/>
    <w:rsid w:val="007A6281"/>
    <w:rsid w:val="007A6335"/>
    <w:rsid w:val="007D0CF8"/>
    <w:rsid w:val="007D78DE"/>
    <w:rsid w:val="007E41B1"/>
    <w:rsid w:val="007E76B3"/>
    <w:rsid w:val="007F2CDD"/>
    <w:rsid w:val="007F4C0B"/>
    <w:rsid w:val="00804002"/>
    <w:rsid w:val="008052E9"/>
    <w:rsid w:val="00806800"/>
    <w:rsid w:val="0080683D"/>
    <w:rsid w:val="00807BAE"/>
    <w:rsid w:val="008153FB"/>
    <w:rsid w:val="00820491"/>
    <w:rsid w:val="00824E43"/>
    <w:rsid w:val="00826939"/>
    <w:rsid w:val="0083064E"/>
    <w:rsid w:val="00832D98"/>
    <w:rsid w:val="00835AA0"/>
    <w:rsid w:val="008363EA"/>
    <w:rsid w:val="008366B0"/>
    <w:rsid w:val="00840975"/>
    <w:rsid w:val="0084199C"/>
    <w:rsid w:val="0084784A"/>
    <w:rsid w:val="00847A06"/>
    <w:rsid w:val="00847AD2"/>
    <w:rsid w:val="00847BB7"/>
    <w:rsid w:val="00850454"/>
    <w:rsid w:val="00853AEC"/>
    <w:rsid w:val="008631C5"/>
    <w:rsid w:val="008632E5"/>
    <w:rsid w:val="008643B2"/>
    <w:rsid w:val="008657F5"/>
    <w:rsid w:val="00865CED"/>
    <w:rsid w:val="00871608"/>
    <w:rsid w:val="00875B5D"/>
    <w:rsid w:val="00875CD7"/>
    <w:rsid w:val="00875DAC"/>
    <w:rsid w:val="00876734"/>
    <w:rsid w:val="0088682E"/>
    <w:rsid w:val="0088704B"/>
    <w:rsid w:val="00887FF3"/>
    <w:rsid w:val="008907AA"/>
    <w:rsid w:val="00891B33"/>
    <w:rsid w:val="00892718"/>
    <w:rsid w:val="00894D44"/>
    <w:rsid w:val="008954F3"/>
    <w:rsid w:val="008960CF"/>
    <w:rsid w:val="008A05A8"/>
    <w:rsid w:val="008A3C04"/>
    <w:rsid w:val="008A45E2"/>
    <w:rsid w:val="008A6D98"/>
    <w:rsid w:val="008B1CF3"/>
    <w:rsid w:val="008B2B09"/>
    <w:rsid w:val="008B3E41"/>
    <w:rsid w:val="008B4FE2"/>
    <w:rsid w:val="008C0548"/>
    <w:rsid w:val="008C4330"/>
    <w:rsid w:val="008C64AF"/>
    <w:rsid w:val="008D01E1"/>
    <w:rsid w:val="008D0686"/>
    <w:rsid w:val="008D0DCA"/>
    <w:rsid w:val="008D5B53"/>
    <w:rsid w:val="008D7421"/>
    <w:rsid w:val="008E1ED1"/>
    <w:rsid w:val="008E56A3"/>
    <w:rsid w:val="008F2419"/>
    <w:rsid w:val="008F724B"/>
    <w:rsid w:val="00900EF5"/>
    <w:rsid w:val="00903709"/>
    <w:rsid w:val="00907358"/>
    <w:rsid w:val="00910515"/>
    <w:rsid w:val="00921AF3"/>
    <w:rsid w:val="009276E9"/>
    <w:rsid w:val="00943C7E"/>
    <w:rsid w:val="009475F0"/>
    <w:rsid w:val="00970125"/>
    <w:rsid w:val="0097092A"/>
    <w:rsid w:val="00970F4E"/>
    <w:rsid w:val="00973673"/>
    <w:rsid w:val="00975DF8"/>
    <w:rsid w:val="0097706C"/>
    <w:rsid w:val="00992176"/>
    <w:rsid w:val="009951F0"/>
    <w:rsid w:val="00995FB9"/>
    <w:rsid w:val="009977D2"/>
    <w:rsid w:val="009A2275"/>
    <w:rsid w:val="009A3B0E"/>
    <w:rsid w:val="009B0A5C"/>
    <w:rsid w:val="009B3079"/>
    <w:rsid w:val="009B4AA0"/>
    <w:rsid w:val="009B5359"/>
    <w:rsid w:val="009B63BE"/>
    <w:rsid w:val="009C2EB9"/>
    <w:rsid w:val="009C6069"/>
    <w:rsid w:val="009C72ED"/>
    <w:rsid w:val="009D399E"/>
    <w:rsid w:val="009E361A"/>
    <w:rsid w:val="009E44BC"/>
    <w:rsid w:val="009E522B"/>
    <w:rsid w:val="009F2E8F"/>
    <w:rsid w:val="009F44EC"/>
    <w:rsid w:val="009F48AE"/>
    <w:rsid w:val="00A00AC5"/>
    <w:rsid w:val="00A01216"/>
    <w:rsid w:val="00A01654"/>
    <w:rsid w:val="00A01BFE"/>
    <w:rsid w:val="00A0252D"/>
    <w:rsid w:val="00A04C88"/>
    <w:rsid w:val="00A05B60"/>
    <w:rsid w:val="00A06087"/>
    <w:rsid w:val="00A13647"/>
    <w:rsid w:val="00A14245"/>
    <w:rsid w:val="00A15FDB"/>
    <w:rsid w:val="00A20674"/>
    <w:rsid w:val="00A238E9"/>
    <w:rsid w:val="00A24FE1"/>
    <w:rsid w:val="00A36BB5"/>
    <w:rsid w:val="00A40D0B"/>
    <w:rsid w:val="00A45D09"/>
    <w:rsid w:val="00A530A7"/>
    <w:rsid w:val="00A57B1D"/>
    <w:rsid w:val="00A608FD"/>
    <w:rsid w:val="00A62F50"/>
    <w:rsid w:val="00A716D2"/>
    <w:rsid w:val="00A728DE"/>
    <w:rsid w:val="00A74721"/>
    <w:rsid w:val="00A77819"/>
    <w:rsid w:val="00A80677"/>
    <w:rsid w:val="00A84329"/>
    <w:rsid w:val="00A84B64"/>
    <w:rsid w:val="00A9567D"/>
    <w:rsid w:val="00A96DD1"/>
    <w:rsid w:val="00AA1488"/>
    <w:rsid w:val="00AB30B3"/>
    <w:rsid w:val="00AB5D6F"/>
    <w:rsid w:val="00AB6FFE"/>
    <w:rsid w:val="00AB7539"/>
    <w:rsid w:val="00AC26BC"/>
    <w:rsid w:val="00AD58FE"/>
    <w:rsid w:val="00AD6E75"/>
    <w:rsid w:val="00AD7FC3"/>
    <w:rsid w:val="00AE24EF"/>
    <w:rsid w:val="00AE2630"/>
    <w:rsid w:val="00AE6208"/>
    <w:rsid w:val="00AE6F87"/>
    <w:rsid w:val="00AF0F98"/>
    <w:rsid w:val="00AF1CC6"/>
    <w:rsid w:val="00AF2066"/>
    <w:rsid w:val="00B0120C"/>
    <w:rsid w:val="00B01E87"/>
    <w:rsid w:val="00B06F32"/>
    <w:rsid w:val="00B10017"/>
    <w:rsid w:val="00B404C6"/>
    <w:rsid w:val="00B425FC"/>
    <w:rsid w:val="00B43297"/>
    <w:rsid w:val="00B47136"/>
    <w:rsid w:val="00B51E5F"/>
    <w:rsid w:val="00B55037"/>
    <w:rsid w:val="00B607AA"/>
    <w:rsid w:val="00B6291D"/>
    <w:rsid w:val="00B632E6"/>
    <w:rsid w:val="00B6634A"/>
    <w:rsid w:val="00B70E0E"/>
    <w:rsid w:val="00B7707F"/>
    <w:rsid w:val="00B770E0"/>
    <w:rsid w:val="00B8145A"/>
    <w:rsid w:val="00B8192D"/>
    <w:rsid w:val="00B85BB8"/>
    <w:rsid w:val="00B87746"/>
    <w:rsid w:val="00B9067B"/>
    <w:rsid w:val="00B91B8B"/>
    <w:rsid w:val="00B91E46"/>
    <w:rsid w:val="00B934AC"/>
    <w:rsid w:val="00B940FF"/>
    <w:rsid w:val="00B95EAE"/>
    <w:rsid w:val="00B97333"/>
    <w:rsid w:val="00BC2179"/>
    <w:rsid w:val="00BE14E7"/>
    <w:rsid w:val="00BE1650"/>
    <w:rsid w:val="00BE7951"/>
    <w:rsid w:val="00BF0F8D"/>
    <w:rsid w:val="00BF0FA3"/>
    <w:rsid w:val="00BF41BE"/>
    <w:rsid w:val="00BF64F8"/>
    <w:rsid w:val="00C0506C"/>
    <w:rsid w:val="00C12064"/>
    <w:rsid w:val="00C137A3"/>
    <w:rsid w:val="00C24627"/>
    <w:rsid w:val="00C275DF"/>
    <w:rsid w:val="00C31871"/>
    <w:rsid w:val="00C37E16"/>
    <w:rsid w:val="00C4098A"/>
    <w:rsid w:val="00C45A4F"/>
    <w:rsid w:val="00C462F2"/>
    <w:rsid w:val="00C534E6"/>
    <w:rsid w:val="00C56B90"/>
    <w:rsid w:val="00C606DE"/>
    <w:rsid w:val="00C63DC9"/>
    <w:rsid w:val="00C64E54"/>
    <w:rsid w:val="00C72E9A"/>
    <w:rsid w:val="00C754E3"/>
    <w:rsid w:val="00C75750"/>
    <w:rsid w:val="00C77287"/>
    <w:rsid w:val="00C82127"/>
    <w:rsid w:val="00C86D85"/>
    <w:rsid w:val="00C94F9D"/>
    <w:rsid w:val="00C95248"/>
    <w:rsid w:val="00CA023C"/>
    <w:rsid w:val="00CA0BF0"/>
    <w:rsid w:val="00CA409C"/>
    <w:rsid w:val="00CB1E5C"/>
    <w:rsid w:val="00CB607E"/>
    <w:rsid w:val="00CB7BD0"/>
    <w:rsid w:val="00CB7D1A"/>
    <w:rsid w:val="00CC5362"/>
    <w:rsid w:val="00CC58C5"/>
    <w:rsid w:val="00CC664F"/>
    <w:rsid w:val="00CD37EB"/>
    <w:rsid w:val="00CD44D3"/>
    <w:rsid w:val="00CD7FE5"/>
    <w:rsid w:val="00CE1D1E"/>
    <w:rsid w:val="00CE459E"/>
    <w:rsid w:val="00CE477B"/>
    <w:rsid w:val="00CE4A8A"/>
    <w:rsid w:val="00CF10AB"/>
    <w:rsid w:val="00CF5547"/>
    <w:rsid w:val="00CF62AF"/>
    <w:rsid w:val="00D02A2A"/>
    <w:rsid w:val="00D0688F"/>
    <w:rsid w:val="00D1691F"/>
    <w:rsid w:val="00D17FDB"/>
    <w:rsid w:val="00D262D2"/>
    <w:rsid w:val="00D30AE6"/>
    <w:rsid w:val="00D32825"/>
    <w:rsid w:val="00D35F29"/>
    <w:rsid w:val="00D43E12"/>
    <w:rsid w:val="00D46E2F"/>
    <w:rsid w:val="00D46EE2"/>
    <w:rsid w:val="00D502F0"/>
    <w:rsid w:val="00D52A56"/>
    <w:rsid w:val="00D53BE2"/>
    <w:rsid w:val="00D644D5"/>
    <w:rsid w:val="00D661EA"/>
    <w:rsid w:val="00D7267D"/>
    <w:rsid w:val="00D80DCF"/>
    <w:rsid w:val="00D81F50"/>
    <w:rsid w:val="00D86AE4"/>
    <w:rsid w:val="00D87D63"/>
    <w:rsid w:val="00D9368C"/>
    <w:rsid w:val="00D9608C"/>
    <w:rsid w:val="00DA29B4"/>
    <w:rsid w:val="00DB2665"/>
    <w:rsid w:val="00DB72A4"/>
    <w:rsid w:val="00DB7E1C"/>
    <w:rsid w:val="00DD47FD"/>
    <w:rsid w:val="00DD6A39"/>
    <w:rsid w:val="00DE0272"/>
    <w:rsid w:val="00DE0767"/>
    <w:rsid w:val="00DE138F"/>
    <w:rsid w:val="00DF2F62"/>
    <w:rsid w:val="00DF4D04"/>
    <w:rsid w:val="00DF5443"/>
    <w:rsid w:val="00DF6F0A"/>
    <w:rsid w:val="00E01C4D"/>
    <w:rsid w:val="00E03474"/>
    <w:rsid w:val="00E147B7"/>
    <w:rsid w:val="00E178D7"/>
    <w:rsid w:val="00E23150"/>
    <w:rsid w:val="00E2367A"/>
    <w:rsid w:val="00E318A1"/>
    <w:rsid w:val="00E321C7"/>
    <w:rsid w:val="00E42736"/>
    <w:rsid w:val="00E42EB1"/>
    <w:rsid w:val="00E4416E"/>
    <w:rsid w:val="00E44708"/>
    <w:rsid w:val="00E500E0"/>
    <w:rsid w:val="00E505C9"/>
    <w:rsid w:val="00E51134"/>
    <w:rsid w:val="00E55A39"/>
    <w:rsid w:val="00E55A70"/>
    <w:rsid w:val="00E71A86"/>
    <w:rsid w:val="00E7588C"/>
    <w:rsid w:val="00E76BB4"/>
    <w:rsid w:val="00E841DF"/>
    <w:rsid w:val="00E8453B"/>
    <w:rsid w:val="00E86FA2"/>
    <w:rsid w:val="00E87F5A"/>
    <w:rsid w:val="00E91506"/>
    <w:rsid w:val="00E92391"/>
    <w:rsid w:val="00E92D7F"/>
    <w:rsid w:val="00E93284"/>
    <w:rsid w:val="00E969B7"/>
    <w:rsid w:val="00EA292D"/>
    <w:rsid w:val="00EB3972"/>
    <w:rsid w:val="00EC531B"/>
    <w:rsid w:val="00EC6D9D"/>
    <w:rsid w:val="00ED06DC"/>
    <w:rsid w:val="00ED0C04"/>
    <w:rsid w:val="00ED3D3A"/>
    <w:rsid w:val="00ED4664"/>
    <w:rsid w:val="00ED7D2F"/>
    <w:rsid w:val="00EE254A"/>
    <w:rsid w:val="00EE5F37"/>
    <w:rsid w:val="00EE7F9C"/>
    <w:rsid w:val="00EF01B1"/>
    <w:rsid w:val="00EF11F3"/>
    <w:rsid w:val="00EF2B7E"/>
    <w:rsid w:val="00EF3A35"/>
    <w:rsid w:val="00EF504E"/>
    <w:rsid w:val="00EF6E25"/>
    <w:rsid w:val="00EF6FD3"/>
    <w:rsid w:val="00EF7A07"/>
    <w:rsid w:val="00F03FB5"/>
    <w:rsid w:val="00F05D7F"/>
    <w:rsid w:val="00F14027"/>
    <w:rsid w:val="00F17362"/>
    <w:rsid w:val="00F3492D"/>
    <w:rsid w:val="00F365E6"/>
    <w:rsid w:val="00F43559"/>
    <w:rsid w:val="00F446A7"/>
    <w:rsid w:val="00F4786F"/>
    <w:rsid w:val="00F47EDB"/>
    <w:rsid w:val="00F54A47"/>
    <w:rsid w:val="00F55087"/>
    <w:rsid w:val="00F56336"/>
    <w:rsid w:val="00F57FD6"/>
    <w:rsid w:val="00F60FCC"/>
    <w:rsid w:val="00F64CF2"/>
    <w:rsid w:val="00F717A4"/>
    <w:rsid w:val="00F73BF7"/>
    <w:rsid w:val="00F91514"/>
    <w:rsid w:val="00F945B7"/>
    <w:rsid w:val="00F961D0"/>
    <w:rsid w:val="00F97696"/>
    <w:rsid w:val="00FA0C9B"/>
    <w:rsid w:val="00FA1A80"/>
    <w:rsid w:val="00FA1D62"/>
    <w:rsid w:val="00FB0132"/>
    <w:rsid w:val="00FB3C26"/>
    <w:rsid w:val="00FB5930"/>
    <w:rsid w:val="00FB71A5"/>
    <w:rsid w:val="00FB79EA"/>
    <w:rsid w:val="00FC0307"/>
    <w:rsid w:val="00FC1D0F"/>
    <w:rsid w:val="00FC5872"/>
    <w:rsid w:val="00FC5FD8"/>
    <w:rsid w:val="00FC69C2"/>
    <w:rsid w:val="00FD03FA"/>
    <w:rsid w:val="00FE2A51"/>
    <w:rsid w:val="00FE4FC7"/>
    <w:rsid w:val="00FE5FB6"/>
    <w:rsid w:val="00FE6C7F"/>
    <w:rsid w:val="00FE7F18"/>
    <w:rsid w:val="00FF0A86"/>
    <w:rsid w:val="00FF2910"/>
    <w:rsid w:val="00FF2E3B"/>
    <w:rsid w:val="00FF5A63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05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styleId="BesuchterLink">
    <w:name w:val="FollowedHyperlink"/>
    <w:basedOn w:val="Absatz-Standardschriftart"/>
    <w:uiPriority w:val="99"/>
    <w:semiHidden/>
    <w:unhideWhenUsed/>
    <w:rsid w:val="0074288B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05B6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689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049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585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79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96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838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2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.klein@bmb-consul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about:blan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mh-gruppe.de/e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8" ma:contentTypeDescription="Ein neues Dokument erstellen." ma:contentTypeScope="" ma:versionID="f60bd62e59953de425fd108559a38546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6a1a9a58b831b759e76c3c142cf815fa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E4820-F0B8-46A2-979A-FC7272D12286}"/>
</file>

<file path=customXml/itemProps3.xml><?xml version="1.0" encoding="utf-8"?>
<ds:datastoreItem xmlns:ds="http://schemas.openxmlformats.org/officeDocument/2006/customXml" ds:itemID="{3A189F75-C452-4715-A153-ACF501942CE7}">
  <ds:schemaRefs>
    <ds:schemaRef ds:uri="http://schemas.openxmlformats.org/package/2006/metadata/core-properties"/>
    <ds:schemaRef ds:uri="39e0115f-cdd0-445a-9af4-685cd6bb2419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www.w3.org/XML/1998/namespace"/>
    <ds:schemaRef ds:uri="c0638978-d130-48da-85cb-7e57c3606cac"/>
    <ds:schemaRef ds:uri="http://purl.org/dc/dcmitype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560</Words>
  <Characters>3691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Wolf, Marcus</dc:creator>
  <cp:lastModifiedBy>Dagmar Klein</cp:lastModifiedBy>
  <cp:revision>6</cp:revision>
  <cp:lastPrinted>2026-01-06T10:46:00Z</cp:lastPrinted>
  <dcterms:created xsi:type="dcterms:W3CDTF">2026-01-05T11:10:00Z</dcterms:created>
  <dcterms:modified xsi:type="dcterms:W3CDTF">2026-01-06T10:46:00Z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  <property fmtid="{D5CDD505-2E9C-101B-9397-08002B2CF9AE}" pid="5" name="GrammarlyDocumentId">
    <vt:lpwstr>8ad47145-0685-42c5-8b32-0bcb91fc6f8d</vt:lpwstr>
  </property>
</Properties>
</file>